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《高等数学》教案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FF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color w:val="FF0000"/>
          <w:sz w:val="28"/>
          <w:szCs w:val="28"/>
          <w:lang w:val="en-US" w:eastAsia="zh-CN"/>
        </w:rPr>
        <w:t>注：撰写教学设计可参考此模板，也可自行优化）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15"/>
        <w:gridCol w:w="1295"/>
        <w:gridCol w:w="292"/>
        <w:gridCol w:w="1151"/>
        <w:gridCol w:w="277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授课题目</w:t>
            </w:r>
          </w:p>
        </w:tc>
        <w:tc>
          <w:tcPr>
            <w:tcW w:w="8114" w:type="dxa"/>
            <w:gridSpan w:val="6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第几章第几节什么课题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计划学时</w:t>
            </w:r>
          </w:p>
        </w:tc>
        <w:tc>
          <w:tcPr>
            <w:tcW w:w="8114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43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授课人数</w:t>
            </w:r>
          </w:p>
        </w:tc>
        <w:tc>
          <w:tcPr>
            <w:tcW w:w="23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教材分析</w:t>
            </w:r>
          </w:p>
        </w:tc>
        <w:tc>
          <w:tcPr>
            <w:tcW w:w="8114" w:type="dxa"/>
            <w:gridSpan w:val="6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内容分析</w:t>
            </w:r>
          </w:p>
        </w:tc>
        <w:tc>
          <w:tcPr>
            <w:tcW w:w="8114" w:type="dxa"/>
            <w:gridSpan w:val="6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114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知识基础：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认知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水平：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需发展的能力素养：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学习过程痛点：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715" w:type="dxa"/>
            <w:shd w:val="clear" w:color="auto" w:fill="FAE2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知识目标</w:t>
            </w:r>
          </w:p>
        </w:tc>
        <w:tc>
          <w:tcPr>
            <w:tcW w:w="2738" w:type="dxa"/>
            <w:gridSpan w:val="3"/>
            <w:shd w:val="clear" w:color="auto" w:fill="FAE2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能力目标</w:t>
            </w:r>
          </w:p>
        </w:tc>
        <w:tc>
          <w:tcPr>
            <w:tcW w:w="2661" w:type="dxa"/>
            <w:gridSpan w:val="2"/>
            <w:shd w:val="clear" w:color="auto" w:fill="FAE2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242" w:type="dxa"/>
            <w:vMerge w:val="continue"/>
            <w:shd w:val="clear" w:color="auto" w:fill="DAE9F7" w:themeFill="text2" w:themeFillTint="1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010" w:type="dxa"/>
            <w:gridSpan w:val="2"/>
            <w:shd w:val="clear" w:color="auto" w:fill="FAE2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4104" w:type="dxa"/>
            <w:gridSpan w:val="4"/>
            <w:shd w:val="clear" w:color="auto" w:fill="FAE2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解决措施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4010" w:type="dxa"/>
            <w:gridSpan w:val="2"/>
            <w:shd w:val="clear" w:color="auto" w:fill="FFFFFF" w:themeFill="background1"/>
            <w:vAlign w:val="center"/>
          </w:tcPr>
          <w:p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正确理解第二重要公式使用条件。</w:t>
            </w:r>
          </w:p>
        </w:tc>
        <w:tc>
          <w:tcPr>
            <w:tcW w:w="4104" w:type="dxa"/>
            <w:gridSpan w:val="4"/>
            <w:shd w:val="clear" w:color="auto" w:fill="FFFFFF" w:themeFill="background1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采用案例法引入知识点，提升学生学习兴趣，激发学生主动思考产生该问题的原因；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2.通过小组头脑风暴，......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4010" w:type="dxa"/>
            <w:gridSpan w:val="2"/>
            <w:shd w:val="clear" w:color="auto" w:fill="FFFFFF" w:themeFill="background1"/>
            <w:vAlign w:val="center"/>
          </w:tcPr>
          <w:p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利用重要极限公式解决实际问题的极限。</w:t>
            </w:r>
          </w:p>
        </w:tc>
        <w:tc>
          <w:tcPr>
            <w:tcW w:w="4104" w:type="dxa"/>
            <w:gridSpan w:val="4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教学方法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与手段</w:t>
            </w:r>
          </w:p>
        </w:tc>
        <w:tc>
          <w:tcPr>
            <w:tcW w:w="8114" w:type="dxa"/>
            <w:gridSpan w:val="6"/>
          </w:tcPr>
          <w:p>
            <w:pPr>
              <w:spacing w:line="360" w:lineRule="auto"/>
              <w:ind w:firstLine="566" w:firstLineChars="23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教学方法：</w:t>
            </w:r>
          </w:p>
          <w:p>
            <w:pPr>
              <w:spacing w:line="360" w:lineRule="auto"/>
              <w:ind w:firstLine="566" w:firstLineChars="23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案例教学法：</w:t>
            </w:r>
          </w:p>
          <w:p>
            <w:pPr>
              <w:spacing w:line="360" w:lineRule="auto"/>
              <w:ind w:firstLine="566" w:firstLineChars="23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小组讨论法：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课程思政</w:t>
            </w:r>
          </w:p>
        </w:tc>
        <w:tc>
          <w:tcPr>
            <w:tcW w:w="8114" w:type="dxa"/>
            <w:gridSpan w:val="6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教学设计思路</w:t>
            </w:r>
          </w:p>
        </w:tc>
        <w:tc>
          <w:tcPr>
            <w:tcW w:w="8114" w:type="dxa"/>
            <w:gridSpan w:val="6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板书设计</w:t>
            </w:r>
          </w:p>
        </w:tc>
        <w:tc>
          <w:tcPr>
            <w:tcW w:w="8114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242" w:type="dxa"/>
            <w:shd w:val="clear" w:color="auto" w:fill="DAE9F7" w:themeFill="text2" w:themeFillTint="1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参考材料</w:t>
            </w:r>
          </w:p>
        </w:tc>
        <w:tc>
          <w:tcPr>
            <w:tcW w:w="8114" w:type="dxa"/>
            <w:gridSpan w:val="6"/>
            <w:vAlign w:val="center"/>
          </w:tcPr>
          <w:p>
            <w:pPr>
              <w:ind w:left="360" w:hanging="36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包括教材、参考书籍、参考文集、参考文献等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117" w:right="1395" w:bottom="1157" w:left="1395" w:header="851" w:footer="992" w:gutter="0"/>
          <w:cols w:space="0" w:num="1"/>
          <w:rtlGutter w:val="0"/>
          <w:docGrid w:type="lines" w:linePitch="314" w:charSpace="0"/>
        </w:sectPr>
      </w:pPr>
    </w:p>
    <w:tbl>
      <w:tblPr>
        <w:tblStyle w:val="8"/>
        <w:tblW w:w="14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3695"/>
        <w:gridCol w:w="3695"/>
        <w:gridCol w:w="3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80" w:type="dxa"/>
            <w:gridSpan w:val="4"/>
            <w:shd w:val="clear" w:color="auto" w:fill="DCEAF7" w:themeFill="text2" w:themeFillTint="19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FF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教学过程设计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（须体现“学生中心”地位，可根据自己的实际设计环节，调整或修改模板）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DCEAF7" w:themeFill="text2" w:themeFillTint="19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教师活动（主导）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学生活动（主体）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明确说明资源内容</w:t>
            </w:r>
          </w:p>
        </w:tc>
        <w:tc>
          <w:tcPr>
            <w:tcW w:w="3695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1.批阅上次课布置作业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2.发布课前学习要求与测试，收集前测结果</w:t>
            </w: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1.完成上次课布置作业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2.开展小组讨论，形成……小组报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3.完成课前学习测试题</w:t>
            </w:r>
          </w:p>
        </w:tc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1.通过课后作业了解学生对前序教学内容的掌握程度；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2.通过课前测试，了解学生目前的知识与能力水平，调整本次课的重点和方法。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DCEAF7" w:themeFill="text2" w:themeFillTint="19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  中（45分钟）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80" w:type="dxa"/>
            <w:gridSpan w:val="4"/>
            <w:shd w:val="clear" w:color="auto" w:fill="FAE3D6" w:themeFill="accent2" w:themeFillTint="3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导入（时长：）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（主导）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PPT截图+文字进行陈述</w:t>
            </w: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关键字可加粗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FAE3D6" w:themeFill="accent2" w:themeFillTint="32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学习目标（时长：）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（主导）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FAE3D6" w:themeFill="accent2" w:themeFillTint="32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前测（时长：）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FAE3D6" w:themeFill="accent2" w:themeFillTint="32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参与式学习（时长：）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772795" cy="835025"/>
                  <wp:effectExtent l="0" t="0" r="8255" b="317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eastAsia="zh-CN"/>
              </w:rPr>
              <w:t>可插入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PPT截图，文字简要说明讲解内容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1090930" cy="817880"/>
                  <wp:effectExtent l="0" t="0" r="13970" b="127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81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组织小组合作探究……，适时解答学生探究过程中的问题，启发学生尝试思考……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随机挑选小组指定同学代表小组进行汇报</w:t>
            </w:r>
          </w:p>
        </w:tc>
        <w:tc>
          <w:tcPr>
            <w:tcW w:w="36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小组研讨：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合作探究案例的解决思路，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确保每位同学完成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对高利贷本息和运用第二重要极限公式进行求解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小组发言：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采用随机方式，指定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1-2个小组对案例解析过程进行演示</w:t>
            </w:r>
          </w:p>
        </w:tc>
        <w:tc>
          <w:tcPr>
            <w:tcW w:w="3695" w:type="dxa"/>
            <w:vAlign w:val="top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播放高利贷受害者视频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，引导学生思考高利贷的计算方式与第二重要极限的联系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2.通过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小组合作探究，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提升学生合作学习、沟通交流的能力；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：通过高利贷案例，引导学生......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FAE3D6" w:themeFill="accent2" w:themeFillTint="3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后测（时长：）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（主导）</w:t>
            </w: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FAE3D6" w:themeFill="accent2" w:themeFillTint="32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课程总结（时长：）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（主体）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szCs w:val="24"/>
                <w:lang w:eastAsia="zh-CN"/>
              </w:rPr>
              <w:t>（主导）</w:t>
            </w: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95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0" w:type="dxa"/>
            <w:gridSpan w:val="4"/>
            <w:shd w:val="clear" w:color="auto" w:fill="DCEAF7" w:themeFill="text2" w:themeFillTint="19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  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内容设计</w:t>
            </w:r>
          </w:p>
        </w:tc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教师活动</w:t>
            </w:r>
          </w:p>
        </w:tc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学生活动</w:t>
            </w:r>
          </w:p>
        </w:tc>
        <w:tc>
          <w:tcPr>
            <w:tcW w:w="369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95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395" w:right="1117" w:bottom="1395" w:left="1157" w:header="851" w:footer="992" w:gutter="0"/>
          <w:cols w:space="0" w:num="1"/>
          <w:rtlGutter w:val="0"/>
          <w:docGrid w:type="lines" w:linePitch="314" w:charSpace="0"/>
        </w:sect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</w:t>
      </w:r>
    </w:p>
    <w:p>
      <w:pP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课前练习题：</w:t>
      </w:r>
    </w:p>
    <w:p>
      <w:pPr>
        <w:rPr>
          <w:rStyle w:val="15"/>
          <w:rFonts w:ascii="Times New Roman" w:hAnsi="Times New Roman" w:eastAsia="宋体" w:cs="Times New Roman"/>
          <w:sz w:val="24"/>
          <w:szCs w:val="24"/>
        </w:rPr>
      </w:pPr>
      <w:r>
        <w:rPr>
          <w:rStyle w:val="15"/>
          <w:rFonts w:ascii="Times New Roman" w:hAnsi="Times New Roman" w:eastAsia="宋体" w:cs="Times New Roman"/>
          <w:sz w:val="24"/>
          <w:szCs w:val="24"/>
        </w:rPr>
        <w:t>（1）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754380" cy="480060"/>
            <wp:effectExtent l="0" t="0" r="762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t xml:space="preserve">； </w:t>
      </w:r>
    </w:p>
    <w:p>
      <w:pPr>
        <w:rPr>
          <w:rStyle w:val="15"/>
          <w:rFonts w:ascii="Times New Roman" w:hAnsi="Times New Roman" w:eastAsia="宋体" w:cs="Times New Roman"/>
          <w:sz w:val="24"/>
          <w:szCs w:val="24"/>
        </w:rPr>
      </w:pPr>
      <w:r>
        <w:rPr>
          <w:rStyle w:val="15"/>
          <w:rFonts w:ascii="Times New Roman" w:hAnsi="Times New Roman" w:eastAsia="宋体" w:cs="Times New Roman"/>
          <w:sz w:val="24"/>
          <w:szCs w:val="24"/>
        </w:rPr>
        <w:t>（2）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784860" cy="48006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t xml:space="preserve">； </w:t>
      </w:r>
    </w:p>
    <w:p>
      <w:pPr>
        <w:rPr>
          <w:rStyle w:val="15"/>
          <w:rFonts w:ascii="Times New Roman" w:hAnsi="Times New Roman" w:eastAsia="宋体" w:cs="Times New Roman"/>
          <w:sz w:val="24"/>
          <w:szCs w:val="24"/>
        </w:rPr>
      </w:pPr>
      <w:r>
        <w:rPr>
          <w:rStyle w:val="15"/>
          <w:rFonts w:ascii="Times New Roman" w:hAnsi="Times New Roman" w:eastAsia="宋体" w:cs="Times New Roman"/>
          <w:sz w:val="24"/>
          <w:szCs w:val="24"/>
        </w:rPr>
        <w:t>（3）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990600" cy="48006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t>；</w:t>
      </w:r>
    </w:p>
    <w:p>
      <w:pPr>
        <w:rPr>
          <w:rStyle w:val="15"/>
          <w:rFonts w:ascii="Times New Roman" w:hAnsi="Times New Roman" w:eastAsia="宋体" w:cs="Times New Roman"/>
          <w:sz w:val="24"/>
          <w:szCs w:val="24"/>
        </w:rPr>
      </w:pPr>
      <w:r>
        <w:rPr>
          <w:rStyle w:val="15"/>
          <w:rFonts w:ascii="Times New Roman" w:hAnsi="Times New Roman" w:eastAsia="宋体" w:cs="Times New Roman"/>
          <w:sz w:val="24"/>
          <w:szCs w:val="24"/>
        </w:rPr>
        <w:t>（4）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1112520" cy="54102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5"/>
          <w:rFonts w:ascii="Times New Roman" w:hAnsi="Times New Roman" w:eastAsia="宋体" w:cs="Times New Roman"/>
          <w:sz w:val="24"/>
          <w:szCs w:val="24"/>
        </w:rPr>
        <w:t xml:space="preserve">；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Style w:val="15"/>
          <w:rFonts w:ascii="Times New Roman" w:hAnsi="Times New Roman" w:eastAsia="宋体" w:cs="Times New Roman"/>
          <w:sz w:val="24"/>
          <w:szCs w:val="24"/>
        </w:rPr>
        <w:t>（5）</w:t>
      </w:r>
      <w:bookmarkStart w:id="0" w:name="_GoBack"/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1150620" cy="54102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课后练习题：</w:t>
      </w:r>
    </w:p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......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117" w:right="1395" w:bottom="1157" w:left="1395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品尚准黑">
    <w:panose1 w:val="020F0500000000000000"/>
    <w:charset w:val="86"/>
    <w:family w:val="auto"/>
    <w:pitch w:val="default"/>
    <w:sig w:usb0="A00002FF" w:usb1="68C7FEFF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514960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MTVkYTAzMmVkNDU2MWRkNmU0NmJjNjIwYjgxMWMifQ=="/>
  </w:docVars>
  <w:rsids>
    <w:rsidRoot w:val="00B64941"/>
    <w:rsid w:val="00033D5E"/>
    <w:rsid w:val="00037AB9"/>
    <w:rsid w:val="000E2766"/>
    <w:rsid w:val="00111219"/>
    <w:rsid w:val="001440BC"/>
    <w:rsid w:val="001A24D9"/>
    <w:rsid w:val="001D2054"/>
    <w:rsid w:val="001D46E7"/>
    <w:rsid w:val="0021497C"/>
    <w:rsid w:val="00215BBB"/>
    <w:rsid w:val="002227BF"/>
    <w:rsid w:val="0023224A"/>
    <w:rsid w:val="00246E2A"/>
    <w:rsid w:val="002509B1"/>
    <w:rsid w:val="002533B1"/>
    <w:rsid w:val="0027416D"/>
    <w:rsid w:val="00304895"/>
    <w:rsid w:val="00306F2D"/>
    <w:rsid w:val="00361D2A"/>
    <w:rsid w:val="00364416"/>
    <w:rsid w:val="003663AD"/>
    <w:rsid w:val="00397105"/>
    <w:rsid w:val="003A0047"/>
    <w:rsid w:val="003B2CFF"/>
    <w:rsid w:val="003C43A5"/>
    <w:rsid w:val="003F261B"/>
    <w:rsid w:val="003F63A0"/>
    <w:rsid w:val="00414687"/>
    <w:rsid w:val="00426CE8"/>
    <w:rsid w:val="00444FBB"/>
    <w:rsid w:val="00473E6D"/>
    <w:rsid w:val="004855D4"/>
    <w:rsid w:val="004874FB"/>
    <w:rsid w:val="005439CF"/>
    <w:rsid w:val="00550029"/>
    <w:rsid w:val="00565B20"/>
    <w:rsid w:val="005715C1"/>
    <w:rsid w:val="005815E4"/>
    <w:rsid w:val="005A75D1"/>
    <w:rsid w:val="005F6A6E"/>
    <w:rsid w:val="0064743E"/>
    <w:rsid w:val="00651FF8"/>
    <w:rsid w:val="00663719"/>
    <w:rsid w:val="00673BE0"/>
    <w:rsid w:val="00693AD6"/>
    <w:rsid w:val="0069769D"/>
    <w:rsid w:val="006B7C81"/>
    <w:rsid w:val="006D283C"/>
    <w:rsid w:val="006F7524"/>
    <w:rsid w:val="00720312"/>
    <w:rsid w:val="007504C5"/>
    <w:rsid w:val="00763B75"/>
    <w:rsid w:val="007E7076"/>
    <w:rsid w:val="007E7BBB"/>
    <w:rsid w:val="008241C9"/>
    <w:rsid w:val="008760F6"/>
    <w:rsid w:val="008B5492"/>
    <w:rsid w:val="008D3DE7"/>
    <w:rsid w:val="00907BE6"/>
    <w:rsid w:val="00913649"/>
    <w:rsid w:val="00934C16"/>
    <w:rsid w:val="00944867"/>
    <w:rsid w:val="00955414"/>
    <w:rsid w:val="00962F29"/>
    <w:rsid w:val="00990861"/>
    <w:rsid w:val="009F086B"/>
    <w:rsid w:val="00A05C28"/>
    <w:rsid w:val="00A069BB"/>
    <w:rsid w:val="00AB7ADE"/>
    <w:rsid w:val="00AC0E19"/>
    <w:rsid w:val="00AF3460"/>
    <w:rsid w:val="00AF6D92"/>
    <w:rsid w:val="00B376F5"/>
    <w:rsid w:val="00B64941"/>
    <w:rsid w:val="00B72013"/>
    <w:rsid w:val="00BC09F1"/>
    <w:rsid w:val="00C15B19"/>
    <w:rsid w:val="00C23707"/>
    <w:rsid w:val="00C36795"/>
    <w:rsid w:val="00C47627"/>
    <w:rsid w:val="00C51813"/>
    <w:rsid w:val="00C95707"/>
    <w:rsid w:val="00CC255B"/>
    <w:rsid w:val="00D04F1B"/>
    <w:rsid w:val="00D24B45"/>
    <w:rsid w:val="00D3033E"/>
    <w:rsid w:val="00D82F6A"/>
    <w:rsid w:val="00D8506D"/>
    <w:rsid w:val="00DA16EF"/>
    <w:rsid w:val="00DD252A"/>
    <w:rsid w:val="00E44620"/>
    <w:rsid w:val="00E4600A"/>
    <w:rsid w:val="00E5377D"/>
    <w:rsid w:val="00E54E61"/>
    <w:rsid w:val="00E5567D"/>
    <w:rsid w:val="00E62BD0"/>
    <w:rsid w:val="00E8479D"/>
    <w:rsid w:val="00EA24AF"/>
    <w:rsid w:val="00EC0962"/>
    <w:rsid w:val="00EE0A9F"/>
    <w:rsid w:val="00EE5779"/>
    <w:rsid w:val="00EF5E16"/>
    <w:rsid w:val="00EF7875"/>
    <w:rsid w:val="00F15FA0"/>
    <w:rsid w:val="00F467A8"/>
    <w:rsid w:val="00F5057D"/>
    <w:rsid w:val="00F93F9F"/>
    <w:rsid w:val="00FC1E56"/>
    <w:rsid w:val="00FF2CDC"/>
    <w:rsid w:val="077057DE"/>
    <w:rsid w:val="1A236924"/>
    <w:rsid w:val="1E9C5D31"/>
    <w:rsid w:val="33541CF7"/>
    <w:rsid w:val="3705639C"/>
    <w:rsid w:val="4968159F"/>
    <w:rsid w:val="4FEC00F4"/>
    <w:rsid w:val="531225F7"/>
    <w:rsid w:val="5AB93873"/>
    <w:rsid w:val="5D471C62"/>
    <w:rsid w:val="61DD51DE"/>
    <w:rsid w:val="6AC6786D"/>
    <w:rsid w:val="713A5CC3"/>
    <w:rsid w:val="74757B95"/>
    <w:rsid w:val="FEB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标题 1 字符"/>
    <w:basedOn w:val="9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spacing w:line="360" w:lineRule="auto"/>
      <w:ind w:left="360"/>
      <w:jc w:val="center"/>
    </w:pPr>
  </w:style>
  <w:style w:type="character" w:customStyle="1" w:styleId="15">
    <w:name w:val="ql-font-microsoftyahei"/>
    <w:basedOn w:val="9"/>
    <w:qFormat/>
    <w:uiPriority w:val="0"/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983</Words>
  <Characters>1012</Characters>
  <Lines>52</Lines>
  <Paragraphs>14</Paragraphs>
  <TotalTime>3</TotalTime>
  <ScaleCrop>false</ScaleCrop>
  <LinksUpToDate>false</LinksUpToDate>
  <CharactersWithSpaces>1021</CharactersWithSpaces>
  <Application>WPS Office WWO_wpscloud_20220113155708-b25ede69a2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2024-05-14T22:18:00Z</dcterms:created>
  <dc:creator>叶姣 张</dc:creator>
  <cp:lastModifiedBy>郭碧</cp:lastModifiedBy>
  <dcterms:modified xsi:type="dcterms:W3CDTF">2025-03-06T09:13:07Z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7C521E5E0AE6448F9FB2326EB4E8BEB1_12</vt:lpwstr>
  </property>
  <property fmtid="{D5CDD505-2E9C-101B-9397-08002B2CF9AE}" pid="4" name="KSOTemplateDocerSaveRecord">
    <vt:lpwstr>eyJoZGlkIjoiODlmMTVkYTAzMmVkNDU2MWRkNmU0NmJjNjIwYjgxMWMiLCJ1c2VySWQiOiIzMTUxNzI5NzAifQ==</vt:lpwstr>
  </property>
</Properties>
</file>